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619C59" w14:textId="77777777" w:rsidR="00BB4AC5" w:rsidRDefault="00BB4AC5" w:rsidP="00BB4AC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CB7CD8F" w14:textId="77777777" w:rsidR="00BB4AC5" w:rsidRDefault="00BB4AC5" w:rsidP="00BB4AC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255CEE0" w14:textId="77777777" w:rsidR="00BB4AC5" w:rsidRDefault="00BB4AC5" w:rsidP="00BB4AC5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4/17/2024</w:t>
      </w:r>
    </w:p>
    <w:p w14:paraId="20EE3ED2" w14:textId="77777777" w:rsidR="00BB4AC5" w:rsidRDefault="00BB4AC5" w:rsidP="00BB4AC5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Wednesday, April 17, 2024</w:t>
      </w:r>
    </w:p>
    <w:p w14:paraId="6EECB0CA" w14:textId="77777777" w:rsidR="00BB4AC5" w:rsidRDefault="00BB4AC5" w:rsidP="00BB4AC5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8:30 AM</w:t>
      </w:r>
    </w:p>
    <w:p w14:paraId="09471F8F" w14:textId="77777777" w:rsidR="00BB4AC5" w:rsidRDefault="00BB4AC5" w:rsidP="00BB4AC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Attendees:</w:t>
      </w:r>
      <w:r>
        <w:rPr>
          <w:rFonts w:ascii="Calibri" w:hAnsi="Calibri" w:cs="Calibri"/>
          <w:sz w:val="22"/>
          <w:szCs w:val="22"/>
        </w:rPr>
        <w:t xml:space="preserve"> Marie Stelmack, Lisa Hoffmann, Greg Rogers, Malcolm Williams, Sunny Park, Andrea Shearer, Hanna Mast, Arie Hayre-Somuah, Barbara DiPietro, Hanifah </w:t>
      </w:r>
      <w:proofErr w:type="spellStart"/>
      <w:r>
        <w:rPr>
          <w:rFonts w:ascii="Calibri" w:hAnsi="Calibri" w:cs="Calibri"/>
          <w:sz w:val="22"/>
          <w:szCs w:val="22"/>
        </w:rPr>
        <w:t>Matumla</w:t>
      </w:r>
      <w:proofErr w:type="spellEnd"/>
      <w:r>
        <w:rPr>
          <w:rFonts w:ascii="Calibri" w:hAnsi="Calibri" w:cs="Calibri"/>
          <w:sz w:val="22"/>
          <w:szCs w:val="22"/>
        </w:rPr>
        <w:t>, Samir Zahid, Margaret Flanagan, Christina Bauer, Tara Dorsey, Tolu Thomas</w:t>
      </w:r>
    </w:p>
    <w:p w14:paraId="08927344" w14:textId="77777777" w:rsidR="00BB4AC5" w:rsidRDefault="00BB4AC5" w:rsidP="00BB4AC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55CA1A9" w14:textId="77777777" w:rsidR="00BB4AC5" w:rsidRDefault="00BB4AC5" w:rsidP="00BB4AC5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PI Measures </w:t>
      </w:r>
    </w:p>
    <w:p w14:paraId="7DB2C5CE" w14:textId="77777777" w:rsidR="00BB4AC5" w:rsidRDefault="00BB4AC5" w:rsidP="00BB4AC5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5 goals started, one kicking off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tomorrow</w:t>
      </w:r>
      <w:proofErr w:type="gramEnd"/>
    </w:p>
    <w:p w14:paraId="4E5B61F4" w14:textId="77777777" w:rsidR="00BB4AC5" w:rsidRDefault="00BB4AC5" w:rsidP="00BB4AC5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HTN Disparity</w:t>
      </w:r>
    </w:p>
    <w:p w14:paraId="22C999B2" w14:textId="77777777" w:rsidR="00BB4AC5" w:rsidRDefault="00BB4AC5" w:rsidP="00BB4AC5">
      <w:pPr>
        <w:numPr>
          <w:ilvl w:val="2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PDSA #1- tested with end of visit sheets - well received, but no changes to BP of the clients we are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tracking</w:t>
      </w:r>
      <w:proofErr w:type="gramEnd"/>
    </w:p>
    <w:p w14:paraId="2B1A0327" w14:textId="77777777" w:rsidR="00BB4AC5" w:rsidRDefault="00BB4AC5" w:rsidP="00BB4AC5">
      <w:pPr>
        <w:numPr>
          <w:ilvl w:val="2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PDSA #2 - scorecards with the medical team</w:t>
      </w:r>
    </w:p>
    <w:p w14:paraId="1FF7BF91" w14:textId="77777777" w:rsidR="00BB4AC5" w:rsidRDefault="00BB4AC5" w:rsidP="00BB4AC5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sz w:val="22"/>
          <w:szCs w:val="22"/>
        </w:rPr>
        <w:t>PrEP</w:t>
      </w:r>
      <w:proofErr w:type="spellEnd"/>
    </w:p>
    <w:p w14:paraId="7E7CF3B1" w14:textId="77777777" w:rsidR="00BB4AC5" w:rsidRDefault="00BB4AC5" w:rsidP="00BB4AC5">
      <w:pPr>
        <w:numPr>
          <w:ilvl w:val="2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PDSA #1 -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PrEP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data relies on prescription filled data, so developed a dx code to document when on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PrEP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order set developed and available too - this puts the dx code in for you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too</w:t>
      </w:r>
      <w:proofErr w:type="gramEnd"/>
    </w:p>
    <w:p w14:paraId="1A9DBB39" w14:textId="77777777" w:rsidR="00BB4AC5" w:rsidRDefault="00BB4AC5" w:rsidP="00BB4AC5">
      <w:pPr>
        <w:numPr>
          <w:ilvl w:val="2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PDSA #2 - involving clients in the work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next</w:t>
      </w:r>
      <w:proofErr w:type="gramEnd"/>
    </w:p>
    <w:p w14:paraId="30243F2B" w14:textId="77777777" w:rsidR="00BB4AC5" w:rsidRDefault="00BB4AC5" w:rsidP="00BB4AC5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Childhood Vax</w:t>
      </w:r>
    </w:p>
    <w:p w14:paraId="799816B4" w14:textId="77777777" w:rsidR="00BB4AC5" w:rsidRDefault="00BB4AC5" w:rsidP="00BB4AC5">
      <w:pPr>
        <w:numPr>
          <w:ilvl w:val="2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PDSA #1 - direct outreach, having dedicated vaccine slots, Ash, Natalia and Keri performing direct outreach, looking at all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clients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5AABFF89" w14:textId="77777777" w:rsidR="00BB4AC5" w:rsidRDefault="00BB4AC5" w:rsidP="00BB4AC5">
      <w:pPr>
        <w:numPr>
          <w:ilvl w:val="2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Involving clients next - Don't have many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vaccine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hesitant parents, but listening to those that are to best cater resources </w:t>
      </w:r>
    </w:p>
    <w:p w14:paraId="13770643" w14:textId="77777777" w:rsidR="00BB4AC5" w:rsidRDefault="00BB4AC5" w:rsidP="00BB4AC5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Hospital Readmission</w:t>
      </w:r>
    </w:p>
    <w:p w14:paraId="5837E37F" w14:textId="77777777" w:rsidR="00BB4AC5" w:rsidRDefault="00BB4AC5" w:rsidP="00BB4AC5">
      <w:pPr>
        <w:numPr>
          <w:ilvl w:val="2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Focusing on medical, CRISP is hard to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parse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31F70F3" w14:textId="77777777" w:rsidR="00BB4AC5" w:rsidRDefault="00BB4AC5" w:rsidP="00BB4AC5">
      <w:pPr>
        <w:numPr>
          <w:ilvl w:val="2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RCA - appointment availability and routine care, inactive phones, notifications that clients are in the hospital, hospitals have established staff, challenges with med adherence - might not understand the medication they received, need to build relationships with local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hospitals</w:t>
      </w:r>
      <w:proofErr w:type="gramEnd"/>
    </w:p>
    <w:p w14:paraId="183D171C" w14:textId="77777777" w:rsidR="00BB4AC5" w:rsidRDefault="00BB4AC5" w:rsidP="00BB4AC5">
      <w:pPr>
        <w:numPr>
          <w:ilvl w:val="2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Met with Mercy</w:t>
      </w:r>
    </w:p>
    <w:p w14:paraId="7AAC5852" w14:textId="77777777" w:rsidR="00BB4AC5" w:rsidRDefault="00BB4AC5" w:rsidP="00BB4AC5">
      <w:pPr>
        <w:numPr>
          <w:ilvl w:val="2"/>
          <w:numId w:val="6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How to involve clients in hospital readmission work - open to ideas!</w:t>
      </w:r>
    </w:p>
    <w:p w14:paraId="40C5491C" w14:textId="77777777" w:rsidR="00BB4AC5" w:rsidRDefault="00BB4AC5" w:rsidP="00BB4AC5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Colorectal Cancer Screening</w:t>
      </w:r>
    </w:p>
    <w:p w14:paraId="6B9292CF" w14:textId="77777777" w:rsidR="00BB4AC5" w:rsidRDefault="00BB4AC5" w:rsidP="00BB4AC5">
      <w:pPr>
        <w:numPr>
          <w:ilvl w:val="2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Care team triad for this measure- trying it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out</w:t>
      </w:r>
      <w:proofErr w:type="gramEnd"/>
    </w:p>
    <w:p w14:paraId="7116EEA8" w14:textId="77777777" w:rsidR="00BB4AC5" w:rsidRDefault="00BB4AC5" w:rsidP="00BB4AC5">
      <w:pPr>
        <w:numPr>
          <w:ilvl w:val="2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RCA - continuity of care (referrals for example), prioritization of those that need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colos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staff turnover, providers and clients may not be aware of available resources, staff at lab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corp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may not be offering the mail in option (doesn't have to be brought back to a LabCorp site),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colo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records from prior to the Athena migration, fear of the process - clients may have trauma or may not be willing to go under anesthesia, bathroom access</w:t>
      </w:r>
    </w:p>
    <w:p w14:paraId="17CE8CC2" w14:textId="77777777" w:rsidR="00BB4AC5" w:rsidRDefault="00BB4AC5" w:rsidP="00BB4AC5">
      <w:pPr>
        <w:numPr>
          <w:ilvl w:val="2"/>
          <w:numId w:val="7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Choose PDSA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next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9FAAD57" w14:textId="77777777" w:rsidR="00BB4AC5" w:rsidRDefault="00BB4AC5" w:rsidP="00BB4AC5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PI tool</w:t>
      </w:r>
    </w:p>
    <w:p w14:paraId="50D8CBA7" w14:textId="77777777" w:rsidR="00BB4AC5" w:rsidRDefault="00BB4AC5" w:rsidP="00BB4AC5">
      <w:pPr>
        <w:numPr>
          <w:ilvl w:val="1"/>
          <w:numId w:val="8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MOCHA - sustainability plan - how can we keep doing this and keep going after an improvement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process</w:t>
      </w:r>
      <w:proofErr w:type="gramEnd"/>
    </w:p>
    <w:p w14:paraId="2809B8D6" w14:textId="77777777" w:rsidR="00BB4AC5" w:rsidRDefault="00BB4AC5" w:rsidP="00BB4AC5">
      <w:pPr>
        <w:numPr>
          <w:ilvl w:val="2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Measurement</w:t>
      </w:r>
    </w:p>
    <w:p w14:paraId="1804A430" w14:textId="77777777" w:rsidR="00BB4AC5" w:rsidRDefault="00BB4AC5" w:rsidP="00BB4AC5">
      <w:pPr>
        <w:numPr>
          <w:ilvl w:val="2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Ownership</w:t>
      </w:r>
    </w:p>
    <w:p w14:paraId="051B92FE" w14:textId="77777777" w:rsidR="00BB4AC5" w:rsidRDefault="00BB4AC5" w:rsidP="00BB4AC5">
      <w:pPr>
        <w:numPr>
          <w:ilvl w:val="2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>Communication and Training</w:t>
      </w:r>
    </w:p>
    <w:p w14:paraId="0DE2CDAD" w14:textId="77777777" w:rsidR="00BB4AC5" w:rsidRDefault="00BB4AC5" w:rsidP="00BB4AC5">
      <w:pPr>
        <w:numPr>
          <w:ilvl w:val="2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Hardwiring the Change</w:t>
      </w:r>
    </w:p>
    <w:p w14:paraId="50F9308D" w14:textId="77777777" w:rsidR="00BB4AC5" w:rsidRDefault="00BB4AC5" w:rsidP="00BB4AC5">
      <w:pPr>
        <w:numPr>
          <w:ilvl w:val="2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Assessment of Workload</w:t>
      </w:r>
    </w:p>
    <w:p w14:paraId="02C86EBD" w14:textId="77777777" w:rsidR="00BB4AC5" w:rsidRDefault="00BB4AC5" w:rsidP="00BB4AC5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Client engagement </w:t>
      </w:r>
    </w:p>
    <w:p w14:paraId="5E4CF025" w14:textId="77777777" w:rsidR="00BB4AC5" w:rsidRDefault="00BB4AC5" w:rsidP="00BB4AC5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Client Testimonial - reach out to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Comms</w:t>
      </w:r>
      <w:proofErr w:type="gramEnd"/>
    </w:p>
    <w:p w14:paraId="48A5B115" w14:textId="77777777" w:rsidR="00BB4AC5" w:rsidRDefault="00BB4AC5" w:rsidP="00BB4AC5">
      <w:pPr>
        <w:numPr>
          <w:ilvl w:val="2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Compensation policy</w:t>
      </w:r>
    </w:p>
    <w:p w14:paraId="178743DB" w14:textId="77777777" w:rsidR="00BB4AC5" w:rsidRDefault="00BB4AC5" w:rsidP="00BB4AC5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Incorporating our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PrEP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work into the Heritage Months - Fallsway type engagement</w:t>
      </w:r>
    </w:p>
    <w:p w14:paraId="3B42D824" w14:textId="77777777" w:rsidR="00BB4AC5" w:rsidRDefault="00BB4AC5" w:rsidP="00BB4AC5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Focus groups and systems developed with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Malcolm</w:t>
      </w:r>
      <w:proofErr w:type="gramEnd"/>
    </w:p>
    <w:p w14:paraId="0E6A9DAB" w14:textId="77777777" w:rsidR="00BB4AC5" w:rsidRDefault="00BB4AC5" w:rsidP="00BB4AC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B2F72A1" w14:textId="77777777" w:rsidR="00BB4AC5" w:rsidRDefault="00BB4AC5" w:rsidP="00BB4AC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64D453B" w14:textId="77777777" w:rsidR="00BB4AC5" w:rsidRDefault="00BB4AC5" w:rsidP="00BB4AC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D65D1DB" w14:textId="77777777" w:rsidR="00BB4AC5" w:rsidRDefault="00BB4AC5" w:rsidP="00BB4AC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630AE33" w14:textId="77777777" w:rsidR="00BB4AC5" w:rsidRDefault="00BB4AC5" w:rsidP="00BB4AC5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497CD3E" w14:textId="77777777" w:rsidR="00BB4AC5" w:rsidRDefault="00BB4AC5" w:rsidP="00BB4AC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EA9A0F6" w14:textId="77777777" w:rsidR="00BB4AC5" w:rsidRDefault="00BB4AC5" w:rsidP="00BB4AC5">
      <w:pPr>
        <w:pStyle w:val="NormalWeb"/>
        <w:spacing w:before="0" w:beforeAutospacing="0" w:after="0" w:afterAutospacing="0"/>
        <w:rPr>
          <w:rFonts w:ascii="Arial" w:hAnsi="Arial" w:cs="Arial"/>
          <w:color w:val="969696"/>
          <w:sz w:val="18"/>
          <w:szCs w:val="18"/>
        </w:rPr>
      </w:pPr>
      <w:r>
        <w:rPr>
          <w:rFonts w:ascii="Arial" w:hAnsi="Arial" w:cs="Arial"/>
          <w:color w:val="969696"/>
          <w:sz w:val="18"/>
          <w:szCs w:val="18"/>
        </w:rPr>
        <w:t>Created with OneNote.</w:t>
      </w:r>
    </w:p>
    <w:p w14:paraId="3D47EEF8" w14:textId="77777777" w:rsidR="00AF0EB8" w:rsidRDefault="00AF0EB8"/>
    <w:sectPr w:rsidR="00AF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111346"/>
    <w:multiLevelType w:val="multilevel"/>
    <w:tmpl w:val="1F9A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643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5230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986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1989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0697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5405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0683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4997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747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9696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1815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C5"/>
    <w:rsid w:val="00AF0EB8"/>
    <w:rsid w:val="00B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1D1A"/>
  <w15:chartTrackingRefBased/>
  <w15:docId w15:val="{3A498F3C-7720-49D0-B6A4-AC72BEF6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C5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A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A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A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A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A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AC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AC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AC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AC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A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A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A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A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A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A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A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A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A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4AC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4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A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4A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4A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4A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4A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4A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A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A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4AC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B4A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Stelmack</dc:creator>
  <cp:keywords/>
  <dc:description/>
  <cp:lastModifiedBy>Marie Stelmack</cp:lastModifiedBy>
  <cp:revision>1</cp:revision>
  <dcterms:created xsi:type="dcterms:W3CDTF">2024-04-19T14:09:00Z</dcterms:created>
  <dcterms:modified xsi:type="dcterms:W3CDTF">2024-04-19T14:10:00Z</dcterms:modified>
</cp:coreProperties>
</file>